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Magazyn "Vademecum odszkodowań" – rzetelne źródło wiedzy o odszkodowaniach, zadośćuczynieniach i rentach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Radcy Prawnego Artura Klimkiewicza, działając na rynku od 2005 r., może pochwalić się wieloma sukcesami i osiągnięciami. Do ich grona dołączyło właśnie kolejne: magazyn Vademecum odszkodowań, wydawany przez kancelarię i skierowany do wszystkich osób zainteresowanych zagadnieniami prawnymi w zakresie odszkodowań, zadośćuczynień i rent z tytułu wypadków i uszczerbków na zdrowiu.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ma chyba człowieka, który choć raz nie borykał się z pytaniami natury prawnej. Bo prawo jest zawiłe, a prawniczy język bynajmniej nie ułatwia zrozumienia tego, co jest dla nas istotne. Vademecum odszkodowań radzi stanowi odpowiedź na wszystkie te rozterki</w:t>
      </w:r>
      <w:r>
        <w:rPr>
          <w:rFonts w:ascii="calibri" w:hAnsi="calibri" w:eastAsia="calibri" w:cs="calibri"/>
          <w:sz w:val="24"/>
          <w:szCs w:val="24"/>
        </w:rPr>
        <w:t xml:space="preserve">, czytamy we wstępie.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magazynie są publikowane nie tylko odpowiedzi na najczęściej zadawane pytania w sprawach o odszkodowanie, zadośćuczynienie czy rentę z tytułu wypadku, wypadku śmiertelnego i uszczerbku na zdrowiu, lecz także artykuły eksperckie, pisane przez doświadczonego radcę prawnego, oraz praktyczne poradniki. Sprawdzone i cenne źródło wiedzy zachęca do lektury wysoką jakością artykułów oraz elegancką grafiką.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Ciekawostką jest możliwość współtworzenia magazynu. Wydawca zachęca czytelników do nadsyłania nurtujących ich pytań poprzez stronę forum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www.eprawnikradzi.pl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odpowiedzi na wybrane z nich zostaną zamieszczone na łamach czasopisma.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jest wydawany w nowoczesnej formie online. Oprócz tego, że można czytać go na dowolnym urządzeniu: komputerze, laptopie, tablecie czy smartfonie, interaktywny magazyn pozwala także obejrzeć zamieszczone w nim filmy i galerie zdjęć oraz jednym kliknięciem przenieść się do wybranej strony. Chętni mogą pobrać magazyn w pliku .pdf, korzystając z przeznaczonej do tego opcji w czytniku magazynu. Dzięki temu magazyn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Vademecum odszkodowań</w:t>
      </w:r>
      <w:r>
        <w:rPr>
          <w:rFonts w:ascii="calibri" w:hAnsi="calibri" w:eastAsia="calibri" w:cs="calibri"/>
          <w:sz w:val="24"/>
          <w:szCs w:val="24"/>
        </w:rPr>
        <w:t xml:space="preserve"> stanowi skondensowaną bazę interesujących i rzetelnie opracowanych materiałów, do których można mieć dostęp zawsze i wszędzie.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numerze, który ukazał się w kwietniu 2016 r., można zapoznać się z następującymi artykułami: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 pytacie – prawnik odpowiada</w:t>
      </w:r>
    </w:p>
    <w:p>
      <w:r>
        <w:rPr>
          <w:rFonts w:ascii="calibri" w:hAnsi="calibri" w:eastAsia="calibri" w:cs="calibri"/>
          <w:sz w:val="24"/>
          <w:szCs w:val="24"/>
        </w:rPr>
        <w:t xml:space="preserve">Odpowiedzi na Wasze pytania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Ludzie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Artur Klimkiewicz: ważna jest zdolność racjonalnego myślenia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Ekspert radzi</w:t>
      </w:r>
    </w:p>
    <w:p>
      <w:r>
        <w:rPr>
          <w:rFonts w:ascii="calibri" w:hAnsi="calibri" w:eastAsia="calibri" w:cs="calibri"/>
          <w:sz w:val="24"/>
          <w:szCs w:val="24"/>
        </w:rPr>
        <w:t xml:space="preserve">Ugoda pozasądowa - błąd, który wiele kosztuje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kwota zadośćuczynienia, odszkodowania lub renty przysługuje poszkodowanym w wypadkach?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do dochodzenia przez konkubenta odszkodowania i zadośćuczynienia za śmierć osoby najbliższej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Warto wiedzieć</w:t>
      </w:r>
    </w:p>
    <w:p>
      <w:r>
        <w:rPr>
          <w:rFonts w:ascii="calibri" w:hAnsi="calibri" w:eastAsia="calibri" w:cs="calibri"/>
          <w:sz w:val="24"/>
          <w:szCs w:val="24"/>
        </w:rPr>
        <w:t xml:space="preserve">Co robić, gdy pieniądze z odszkodowania są potrzebne natychmiast?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Policja na miejscu wypadku – wzywać czy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To Ci się przyda</w:t>
      </w:r>
    </w:p>
    <w:p>
      <w:r>
        <w:rPr>
          <w:rFonts w:ascii="calibri" w:hAnsi="calibri" w:eastAsia="calibri" w:cs="calibri"/>
          <w:sz w:val="24"/>
          <w:szCs w:val="24"/>
        </w:rPr>
        <w:t xml:space="preserve">Jakie dokumenty zgromadzić, by otrzymać odszkodowanie?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Precedensy</w:t>
      </w:r>
    </w:p>
    <w:p>
      <w:r>
        <w:rPr>
          <w:rFonts w:ascii="calibri" w:hAnsi="calibri" w:eastAsia="calibri" w:cs="calibri"/>
          <w:sz w:val="24"/>
          <w:szCs w:val="24"/>
        </w:rPr>
        <w:t xml:space="preserve">Bronimy poszkodowanych w „Sprawie dla reportera”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Rekordowe odszkodowanie 2.200.000 zł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Kliknij i przeczytaj magazyn Vademecum odszkodowań online.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eprawnikradzi.pl" TargetMode="External"/><Relationship Id="rId9" Type="http://schemas.openxmlformats.org/officeDocument/2006/relationships/hyperlink" Target="https://joom.ag/IhbQ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2025-10-01T23:13:28+02:00</dcterms:created>
  <dcterms:modified xsi:type="dcterms:W3CDTF">2025-10-01T23:13:28+02:00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